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АДМИНИСТРАЦИЯ  МУНИЦИПАЛЬНОГО ОБРАЗОВАНИЯ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«</w:t>
      </w:r>
      <w:r w:rsidR="000230C0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</w:p>
    <w:p w:rsidR="00B54644" w:rsidRPr="00605BC2" w:rsidRDefault="00B54644" w:rsidP="00B54644">
      <w:pPr>
        <w:rPr>
          <w:sz w:val="28"/>
          <w:szCs w:val="28"/>
        </w:rPr>
      </w:pPr>
    </w:p>
    <w:p w:rsidR="00B54644" w:rsidRPr="00605BC2" w:rsidRDefault="00B54644" w:rsidP="00B54644">
      <w:pPr>
        <w:rPr>
          <w:b/>
          <w:sz w:val="28"/>
          <w:szCs w:val="28"/>
        </w:rPr>
      </w:pPr>
      <w:r w:rsidRPr="00605BC2">
        <w:rPr>
          <w:sz w:val="28"/>
          <w:szCs w:val="28"/>
        </w:rPr>
        <w:t xml:space="preserve">                                                </w:t>
      </w:r>
      <w:r w:rsidRPr="00605BC2">
        <w:rPr>
          <w:b/>
          <w:sz w:val="28"/>
          <w:szCs w:val="28"/>
        </w:rPr>
        <w:t xml:space="preserve">ПОСТАНОВЛЕНИЕ </w:t>
      </w:r>
    </w:p>
    <w:p w:rsidR="00B54644" w:rsidRPr="00605BC2" w:rsidRDefault="00B54644" w:rsidP="00B54644">
      <w:pPr>
        <w:jc w:val="center"/>
        <w:rPr>
          <w:b/>
          <w:sz w:val="28"/>
          <w:szCs w:val="28"/>
        </w:rPr>
      </w:pPr>
    </w:p>
    <w:p w:rsidR="00B54644" w:rsidRPr="00605BC2" w:rsidRDefault="00B54644" w:rsidP="00B54644">
      <w:pPr>
        <w:shd w:val="clear" w:color="auto" w:fill="FFFFFF"/>
        <w:spacing w:before="150" w:after="150"/>
        <w:rPr>
          <w:sz w:val="28"/>
          <w:szCs w:val="28"/>
        </w:rPr>
      </w:pPr>
      <w:r w:rsidRPr="00605BC2">
        <w:rPr>
          <w:sz w:val="28"/>
          <w:szCs w:val="28"/>
        </w:rPr>
        <w:t>   </w:t>
      </w:r>
    </w:p>
    <w:p w:rsidR="00B54644" w:rsidRPr="00605BC2" w:rsidRDefault="00B54644" w:rsidP="00B54644">
      <w:pPr>
        <w:pStyle w:val="a3"/>
        <w:spacing w:line="273" w:lineRule="atLeast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B54644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 xml:space="preserve">от </w:t>
      </w:r>
      <w:r w:rsidR="00327A2F">
        <w:rPr>
          <w:b/>
          <w:bCs/>
          <w:sz w:val="28"/>
          <w:szCs w:val="28"/>
        </w:rPr>
        <w:t>02</w:t>
      </w:r>
      <w:r w:rsidR="000230C0">
        <w:rPr>
          <w:b/>
          <w:bCs/>
          <w:sz w:val="28"/>
          <w:szCs w:val="28"/>
        </w:rPr>
        <w:t>.11</w:t>
      </w:r>
      <w:r w:rsidR="00327A2F">
        <w:rPr>
          <w:b/>
          <w:bCs/>
          <w:sz w:val="28"/>
          <w:szCs w:val="28"/>
        </w:rPr>
        <w:t>.2020</w:t>
      </w:r>
      <w:r w:rsidRPr="00605BC2">
        <w:rPr>
          <w:b/>
          <w:bCs/>
          <w:sz w:val="28"/>
          <w:szCs w:val="28"/>
        </w:rPr>
        <w:t>г.                                                                    </w:t>
      </w:r>
      <w:r w:rsidR="000F498A">
        <w:rPr>
          <w:b/>
          <w:bCs/>
          <w:sz w:val="28"/>
          <w:szCs w:val="28"/>
        </w:rPr>
        <w:t xml:space="preserve">                   </w:t>
      </w:r>
      <w:r w:rsidRPr="00605BC2">
        <w:rPr>
          <w:b/>
          <w:bCs/>
          <w:sz w:val="28"/>
          <w:szCs w:val="28"/>
        </w:rPr>
        <w:t xml:space="preserve"> №</w:t>
      </w:r>
      <w:r w:rsidR="00D40730" w:rsidRPr="00605BC2">
        <w:rPr>
          <w:b/>
          <w:bCs/>
          <w:sz w:val="28"/>
          <w:szCs w:val="28"/>
        </w:rPr>
        <w:t xml:space="preserve"> </w:t>
      </w:r>
      <w:r w:rsidR="00327A2F">
        <w:rPr>
          <w:b/>
          <w:bCs/>
          <w:sz w:val="28"/>
          <w:szCs w:val="28"/>
        </w:rPr>
        <w:t>19</w:t>
      </w:r>
    </w:p>
    <w:p w:rsidR="00B54644" w:rsidRPr="00605BC2" w:rsidRDefault="00B54644" w:rsidP="00B54644">
      <w:pPr>
        <w:pStyle w:val="a3"/>
        <w:spacing w:line="273" w:lineRule="atLeast"/>
        <w:rPr>
          <w:sz w:val="28"/>
          <w:szCs w:val="28"/>
        </w:rPr>
      </w:pPr>
      <w:r w:rsidRPr="00605BC2">
        <w:rPr>
          <w:sz w:val="28"/>
          <w:szCs w:val="28"/>
        </w:rPr>
        <w:t>     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Об утверждении  Порядка определения ежегодного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объема иных межбюджетных трансфертов,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передаваемых из бюджета МО «Село Садовое»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 в бюджет муниципального образования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 </w:t>
      </w:r>
      <w:proofErr w:type="gramStart"/>
      <w:r w:rsidRPr="00D621E2">
        <w:rPr>
          <w:sz w:val="28"/>
        </w:rPr>
        <w:t>необходимых</w:t>
      </w:r>
      <w:proofErr w:type="gramEnd"/>
      <w:r w:rsidRPr="00D621E2">
        <w:rPr>
          <w:sz w:val="28"/>
        </w:rPr>
        <w:t xml:space="preserve">  для осуществления </w:t>
      </w:r>
    </w:p>
    <w:p w:rsidR="000F498A" w:rsidRPr="00D621E2" w:rsidRDefault="000F498A" w:rsidP="000F498A">
      <w:pPr>
        <w:rPr>
          <w:sz w:val="28"/>
        </w:rPr>
      </w:pPr>
      <w:proofErr w:type="gramStart"/>
      <w:r w:rsidRPr="00D621E2">
        <w:rPr>
          <w:sz w:val="28"/>
        </w:rPr>
        <w:t>передаваемых</w:t>
      </w:r>
      <w:proofErr w:type="gramEnd"/>
      <w:r w:rsidRPr="00D621E2">
        <w:rPr>
          <w:sz w:val="28"/>
        </w:rPr>
        <w:t xml:space="preserve">  Контрольно-счетной палате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>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части полномочий контрольно-счетного органа </w:t>
      </w:r>
    </w:p>
    <w:p w:rsidR="000F498A" w:rsidRPr="00D621E2" w:rsidRDefault="000F498A" w:rsidP="000F498A">
      <w:pPr>
        <w:rPr>
          <w:sz w:val="28"/>
        </w:rPr>
      </w:pPr>
      <w:r w:rsidRPr="00D621E2">
        <w:rPr>
          <w:sz w:val="28"/>
        </w:rPr>
        <w:t xml:space="preserve">МО «Село Садовое» </w:t>
      </w:r>
      <w:proofErr w:type="gramStart"/>
      <w:r w:rsidRPr="00D621E2">
        <w:rPr>
          <w:sz w:val="28"/>
        </w:rPr>
        <w:t>по</w:t>
      </w:r>
      <w:proofErr w:type="gramEnd"/>
      <w:r w:rsidRPr="00D621E2">
        <w:rPr>
          <w:sz w:val="28"/>
        </w:rPr>
        <w:t xml:space="preserve"> внешнему муниципальному </w:t>
      </w:r>
    </w:p>
    <w:p w:rsidR="00A973C7" w:rsidRPr="00605BC2" w:rsidRDefault="000F498A" w:rsidP="000F498A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D621E2">
        <w:rPr>
          <w:sz w:val="28"/>
        </w:rPr>
        <w:t>финансовому контролю</w:t>
      </w:r>
    </w:p>
    <w:p w:rsidR="000F498A" w:rsidRDefault="000F498A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В соответствии со </w:t>
      </w:r>
      <w:r w:rsidR="00A973C7" w:rsidRPr="00605BC2">
        <w:rPr>
          <w:sz w:val="28"/>
          <w:szCs w:val="28"/>
        </w:rPr>
        <w:t xml:space="preserve">ст. 142.3 и ст.142.5 Бюджетного </w:t>
      </w:r>
      <w:r w:rsidRPr="00605BC2">
        <w:rPr>
          <w:sz w:val="28"/>
          <w:szCs w:val="28"/>
        </w:rPr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Pr="00605BC2" w:rsidRDefault="00B54644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П О С Т А Н О В Л Я Ю:</w:t>
      </w:r>
    </w:p>
    <w:p w:rsidR="002E4DB6" w:rsidRPr="00605BC2" w:rsidRDefault="002E4DB6" w:rsidP="002E4DB6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1.Утвердить  п</w:t>
      </w:r>
      <w:r w:rsidRPr="00605BC2">
        <w:rPr>
          <w:bCs/>
          <w:sz w:val="28"/>
          <w:szCs w:val="28"/>
        </w:rPr>
        <w:t>орядок предоставления межбюджетных трансфертов бюджета муниципального образования «</w:t>
      </w:r>
      <w:r w:rsidR="000230C0">
        <w:rPr>
          <w:bCs/>
          <w:sz w:val="28"/>
          <w:szCs w:val="28"/>
        </w:rPr>
        <w:t>Село Садовое</w:t>
      </w:r>
      <w:r w:rsidRPr="00605BC2">
        <w:rPr>
          <w:bCs/>
          <w:sz w:val="28"/>
          <w:szCs w:val="28"/>
        </w:rPr>
        <w:t>»  бюджету муниципального образования «Ахтубинский район»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(приложение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1</w:t>
      </w:r>
      <w:r w:rsidR="009848CA" w:rsidRPr="00605BC2">
        <w:rPr>
          <w:bCs/>
          <w:sz w:val="28"/>
          <w:szCs w:val="28"/>
        </w:rPr>
        <w:t>,2</w:t>
      </w:r>
      <w:r w:rsidRPr="00605BC2">
        <w:rPr>
          <w:bCs/>
          <w:sz w:val="28"/>
          <w:szCs w:val="28"/>
        </w:rPr>
        <w:t>)</w:t>
      </w:r>
      <w:r w:rsidR="00A973C7" w:rsidRPr="00605BC2">
        <w:rPr>
          <w:bCs/>
          <w:sz w:val="28"/>
          <w:szCs w:val="28"/>
        </w:rPr>
        <w:t>.</w:t>
      </w:r>
    </w:p>
    <w:p w:rsidR="002E4DB6" w:rsidRPr="00605BC2" w:rsidRDefault="00B54644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           2. Утвердить </w:t>
      </w:r>
      <w:r w:rsidR="00E94F7A" w:rsidRPr="00605BC2">
        <w:rPr>
          <w:sz w:val="28"/>
          <w:szCs w:val="28"/>
        </w:rPr>
        <w:t>м</w:t>
      </w:r>
      <w:r w:rsidRPr="00605BC2">
        <w:rPr>
          <w:sz w:val="28"/>
          <w:szCs w:val="28"/>
        </w:rPr>
        <w:t>етодик</w:t>
      </w:r>
      <w:r w:rsidR="00E94F7A" w:rsidRPr="00605BC2">
        <w:rPr>
          <w:sz w:val="28"/>
          <w:szCs w:val="28"/>
        </w:rPr>
        <w:t>и</w:t>
      </w:r>
      <w:r w:rsidRPr="00605BC2">
        <w:rPr>
          <w:sz w:val="28"/>
          <w:szCs w:val="28"/>
        </w:rPr>
        <w:t xml:space="preserve"> </w:t>
      </w:r>
      <w:r w:rsidR="002E4DB6" w:rsidRPr="00605BC2">
        <w:rPr>
          <w:sz w:val="28"/>
          <w:szCs w:val="28"/>
        </w:rPr>
        <w:t>расчета</w:t>
      </w:r>
      <w:r w:rsidRPr="00605BC2">
        <w:rPr>
          <w:sz w:val="28"/>
          <w:szCs w:val="28"/>
        </w:rPr>
        <w:t xml:space="preserve"> межбюджетных трансфертов из бюджета</w:t>
      </w:r>
      <w:r w:rsidR="002F62EE" w:rsidRPr="00605BC2">
        <w:rPr>
          <w:sz w:val="28"/>
          <w:szCs w:val="28"/>
        </w:rPr>
        <w:t xml:space="preserve"> МО «</w:t>
      </w:r>
      <w:r w:rsidR="000230C0">
        <w:rPr>
          <w:sz w:val="28"/>
          <w:szCs w:val="28"/>
        </w:rPr>
        <w:t>Село Садовое</w:t>
      </w:r>
      <w:r w:rsidR="002F62EE" w:rsidRPr="00605BC2">
        <w:rPr>
          <w:sz w:val="28"/>
          <w:szCs w:val="28"/>
        </w:rPr>
        <w:t xml:space="preserve">»  бюджету МО «Ахтубинский </w:t>
      </w:r>
    </w:p>
    <w:p w:rsidR="00B54644" w:rsidRPr="00605BC2" w:rsidRDefault="002F62E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район</w:t>
      </w:r>
      <w:proofErr w:type="gramStart"/>
      <w:r w:rsidRPr="00605BC2">
        <w:rPr>
          <w:sz w:val="28"/>
          <w:szCs w:val="28"/>
        </w:rPr>
        <w:t>»</w:t>
      </w:r>
      <w:r w:rsidR="00A118A1" w:rsidRPr="00605BC2">
        <w:rPr>
          <w:sz w:val="28"/>
          <w:szCs w:val="28"/>
        </w:rPr>
        <w:t>(</w:t>
      </w:r>
      <w:proofErr w:type="gramEnd"/>
      <w:r w:rsidR="00BC6683">
        <w:rPr>
          <w:sz w:val="28"/>
          <w:szCs w:val="28"/>
        </w:rPr>
        <w:t>приложение 3</w:t>
      </w:r>
      <w:r w:rsidR="00A118A1" w:rsidRPr="00605BC2">
        <w:rPr>
          <w:sz w:val="28"/>
          <w:szCs w:val="28"/>
        </w:rPr>
        <w:t>)</w:t>
      </w:r>
      <w:r w:rsidR="00B54644" w:rsidRPr="00605BC2">
        <w:rPr>
          <w:sz w:val="28"/>
          <w:szCs w:val="28"/>
        </w:rPr>
        <w:t>.</w:t>
      </w:r>
    </w:p>
    <w:p w:rsidR="00B54644" w:rsidRPr="00605BC2" w:rsidRDefault="002E4DB6" w:rsidP="000230C0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</w:t>
      </w:r>
      <w:r w:rsidR="00B54644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3</w:t>
      </w:r>
      <w:r w:rsidR="00B54644" w:rsidRPr="00605BC2">
        <w:rPr>
          <w:sz w:val="28"/>
          <w:szCs w:val="28"/>
        </w:rPr>
        <w:t>. Настоящее Постановление вступает в силу с момента подписания и распространяет свое действие на отно</w:t>
      </w:r>
      <w:r w:rsidR="006416E1">
        <w:rPr>
          <w:sz w:val="28"/>
          <w:szCs w:val="28"/>
        </w:rPr>
        <w:t>ш</w:t>
      </w:r>
      <w:r w:rsidR="003D37EA">
        <w:rPr>
          <w:sz w:val="28"/>
          <w:szCs w:val="28"/>
        </w:rPr>
        <w:t>ения, возникшие с  1 января 2020</w:t>
      </w:r>
      <w:bookmarkStart w:id="0" w:name="_GoBack"/>
      <w:bookmarkEnd w:id="0"/>
      <w:r w:rsidR="00B54644" w:rsidRPr="00605BC2">
        <w:rPr>
          <w:sz w:val="28"/>
          <w:szCs w:val="28"/>
        </w:rPr>
        <w:t>года.</w:t>
      </w:r>
    </w:p>
    <w:p w:rsid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814FD8" w:rsidRDefault="00B54644" w:rsidP="00814FD8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  <w:r w:rsidRPr="000230C0">
        <w:rPr>
          <w:sz w:val="28"/>
          <w:szCs w:val="28"/>
        </w:rPr>
        <w:t xml:space="preserve">Глава </w:t>
      </w:r>
      <w:r w:rsidR="000230C0" w:rsidRPr="000230C0">
        <w:rPr>
          <w:sz w:val="28"/>
          <w:szCs w:val="28"/>
        </w:rPr>
        <w:t>муниципального образования</w:t>
      </w:r>
      <w:r w:rsidR="002F62EE" w:rsidRPr="000230C0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 xml:space="preserve">                                         </w:t>
      </w:r>
      <w:proofErr w:type="spellStart"/>
      <w:r w:rsidR="000230C0">
        <w:rPr>
          <w:sz w:val="28"/>
          <w:szCs w:val="28"/>
        </w:rPr>
        <w:t>А.С.Духнов</w:t>
      </w:r>
      <w:proofErr w:type="spellEnd"/>
      <w:r w:rsidRPr="000230C0">
        <w:rPr>
          <w:sz w:val="28"/>
          <w:szCs w:val="28"/>
        </w:rPr>
        <w:t xml:space="preserve">                          </w:t>
      </w:r>
      <w:r w:rsidR="002F62EE" w:rsidRPr="000230C0">
        <w:rPr>
          <w:sz w:val="28"/>
          <w:szCs w:val="28"/>
        </w:rPr>
        <w:t xml:space="preserve"> </w:t>
      </w:r>
      <w:r w:rsidR="00605BC2" w:rsidRPr="000230C0">
        <w:rPr>
          <w:sz w:val="28"/>
          <w:szCs w:val="28"/>
        </w:rPr>
        <w:t xml:space="preserve">                   </w:t>
      </w:r>
    </w:p>
    <w:p w:rsidR="004E3E17" w:rsidRPr="004E3E17" w:rsidRDefault="00814FD8" w:rsidP="00814FD8">
      <w:pPr>
        <w:pStyle w:val="a3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E3E17" w:rsidRPr="004E3E17">
        <w:rPr>
          <w:sz w:val="28"/>
          <w:szCs w:val="28"/>
        </w:rPr>
        <w:t xml:space="preserve">Утверждено  </w:t>
      </w:r>
    </w:p>
    <w:p w:rsidR="004E3E17" w:rsidRPr="004E3E17" w:rsidRDefault="004E3E17" w:rsidP="004E3E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E3E17">
        <w:rPr>
          <w:sz w:val="28"/>
          <w:szCs w:val="28"/>
        </w:rPr>
        <w:t xml:space="preserve">Постановлением </w:t>
      </w:r>
    </w:p>
    <w:p w:rsidR="004E3E17" w:rsidRPr="004E3E17" w:rsidRDefault="004E3E17" w:rsidP="004E3E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E3E17">
        <w:rPr>
          <w:sz w:val="28"/>
          <w:szCs w:val="28"/>
        </w:rPr>
        <w:t xml:space="preserve">администрации </w:t>
      </w:r>
    </w:p>
    <w:p w:rsidR="004E3E17" w:rsidRPr="004E3E17" w:rsidRDefault="004E3E17" w:rsidP="004E3E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E3E17">
        <w:rPr>
          <w:sz w:val="28"/>
          <w:szCs w:val="28"/>
        </w:rPr>
        <w:t>МО «Село Садовое»</w:t>
      </w:r>
    </w:p>
    <w:p w:rsidR="004E3E17" w:rsidRPr="004E3E17" w:rsidRDefault="004E3E17" w:rsidP="004E3E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327A2F">
        <w:rPr>
          <w:sz w:val="28"/>
          <w:szCs w:val="28"/>
        </w:rPr>
        <w:t>от 02.11.2020   № 19</w:t>
      </w:r>
      <w:r w:rsidRPr="004E3E17">
        <w:rPr>
          <w:sz w:val="28"/>
          <w:szCs w:val="28"/>
        </w:rPr>
        <w:t xml:space="preserve">    </w:t>
      </w:r>
    </w:p>
    <w:p w:rsidR="004E3E17" w:rsidRPr="004E3E17" w:rsidRDefault="004E3E17" w:rsidP="004E3E17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A6D88" w:rsidRPr="00D621E2" w:rsidRDefault="002A6D88" w:rsidP="002A6D88">
      <w:pPr>
        <w:jc w:val="center"/>
        <w:rPr>
          <w:b/>
          <w:sz w:val="28"/>
        </w:rPr>
      </w:pPr>
      <w:r w:rsidRPr="00D621E2">
        <w:rPr>
          <w:b/>
          <w:sz w:val="28"/>
        </w:rPr>
        <w:t>Порядок</w:t>
      </w:r>
    </w:p>
    <w:p w:rsidR="002A6D88" w:rsidRPr="00D621E2" w:rsidRDefault="002A6D88" w:rsidP="002A6D88">
      <w:pPr>
        <w:rPr>
          <w:b/>
          <w:sz w:val="28"/>
        </w:rPr>
      </w:pPr>
      <w:proofErr w:type="gramStart"/>
      <w:r w:rsidRPr="00D621E2">
        <w:rPr>
          <w:b/>
          <w:sz w:val="28"/>
        </w:rPr>
        <w:t>определения ежегодного объема иных межбюджетных трансфертов, передаваемых  из бюджета муниципального образования «Село Садовое» в бюджет муниципального образования «</w:t>
      </w:r>
      <w:proofErr w:type="spellStart"/>
      <w:r w:rsidRPr="00D621E2">
        <w:rPr>
          <w:b/>
          <w:sz w:val="28"/>
        </w:rPr>
        <w:t>Ахтубинский</w:t>
      </w:r>
      <w:proofErr w:type="spellEnd"/>
      <w:r w:rsidRPr="00D621E2">
        <w:rPr>
          <w:b/>
          <w:sz w:val="28"/>
        </w:rPr>
        <w:t xml:space="preserve"> район»,  необходимых  для осуществления принимаемых  Контрольно-счетной палатой муниципального образования «</w:t>
      </w:r>
      <w:proofErr w:type="spellStart"/>
      <w:r w:rsidRPr="00D621E2">
        <w:rPr>
          <w:b/>
          <w:sz w:val="28"/>
        </w:rPr>
        <w:t>Ахтубинский</w:t>
      </w:r>
      <w:proofErr w:type="spellEnd"/>
      <w:r w:rsidRPr="00D621E2">
        <w:rPr>
          <w:b/>
          <w:sz w:val="28"/>
        </w:rPr>
        <w:t xml:space="preserve"> район» час</w:t>
      </w:r>
      <w:r>
        <w:rPr>
          <w:b/>
          <w:sz w:val="28"/>
        </w:rPr>
        <w:t>ти полномочий контрольно-счетного органа муниципального образования «Село Садовое»</w:t>
      </w:r>
      <w:r w:rsidRPr="00D621E2">
        <w:rPr>
          <w:b/>
          <w:sz w:val="28"/>
        </w:rPr>
        <w:t xml:space="preserve"> по внешнему муниципальному финансовому контролю</w:t>
      </w:r>
      <w:proofErr w:type="gramEnd"/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>
        <w:rPr>
          <w:sz w:val="28"/>
        </w:rPr>
        <w:t xml:space="preserve">       </w:t>
      </w:r>
      <w:proofErr w:type="gramStart"/>
      <w:r w:rsidRPr="00D621E2">
        <w:rPr>
          <w:sz w:val="28"/>
        </w:rPr>
        <w:t>Настоящий Порядок разработан в целях  определения ежегодного объема иных межбюджетных трансфертов, предоставляемых из бюджета МО «Село Садовое» в бюджет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 необходимых  для осуществления передачи  Контрольно-счетной палатой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 части полномочий контрольно-счетных органов по осуществлению внешнего муниципального финансового контроля Контрольно-счетной палате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  (далее также – контрольно-счетный орган, КСО), в части экспертизы проекта решения о</w:t>
      </w:r>
      <w:proofErr w:type="gramEnd"/>
      <w:r w:rsidRPr="00D621E2">
        <w:rPr>
          <w:sz w:val="28"/>
        </w:rPr>
        <w:t xml:space="preserve"> </w:t>
      </w:r>
      <w:proofErr w:type="gramStart"/>
      <w:r w:rsidRPr="00D621E2">
        <w:rPr>
          <w:sz w:val="28"/>
        </w:rPr>
        <w:t>бюджете</w:t>
      </w:r>
      <w:proofErr w:type="gramEnd"/>
      <w:r w:rsidRPr="00D621E2">
        <w:rPr>
          <w:sz w:val="28"/>
        </w:rPr>
        <w:t xml:space="preserve"> поселения и внешней проверки годового отчета об исполнении бюджета поселения.</w:t>
      </w:r>
    </w:p>
    <w:p w:rsidR="002A6D88" w:rsidRPr="00D621E2" w:rsidRDefault="002A6D88" w:rsidP="002A6D88">
      <w:pPr>
        <w:rPr>
          <w:sz w:val="28"/>
        </w:rPr>
      </w:pPr>
      <w:r>
        <w:rPr>
          <w:sz w:val="28"/>
        </w:rPr>
        <w:t xml:space="preserve">       </w:t>
      </w:r>
      <w:r w:rsidRPr="00D621E2">
        <w:rPr>
          <w:sz w:val="28"/>
        </w:rPr>
        <w:t xml:space="preserve">Иные межбюджетные трансферты предоставляются в целях  дополнительного финансового обеспечения деятельности контрольно-счетного органа муниципального района в связи с осуществлением ею контрольных и </w:t>
      </w:r>
      <w:proofErr w:type="spellStart"/>
      <w:r w:rsidRPr="00D621E2">
        <w:rPr>
          <w:sz w:val="28"/>
        </w:rPr>
        <w:t>экспертно</w:t>
      </w:r>
      <w:proofErr w:type="spellEnd"/>
      <w:r w:rsidRPr="00D621E2">
        <w:rPr>
          <w:sz w:val="28"/>
        </w:rPr>
        <w:t xml:space="preserve"> – аналитических мероприятий в рамках принимаемых  полномочий муниципальных образований поселений, в области внешнего муниципального финансового контроля, указанных в пункте 1 настоящего Порядка.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 </w:t>
      </w:r>
      <w:r>
        <w:rPr>
          <w:sz w:val="28"/>
        </w:rPr>
        <w:t xml:space="preserve">     </w:t>
      </w:r>
      <w:r w:rsidRPr="00D621E2">
        <w:rPr>
          <w:sz w:val="28"/>
        </w:rPr>
        <w:t>Объемы межбюджетных трансфертов, предоставляемых из бюджетов поселений в бюджет муниципального района, определяются в рублях  Российской Федерации, с учетом необходимости обеспечения: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затрат на оплату труда с начислениями специалистов контрольно-счетной палаты муниципального образования «</w:t>
      </w:r>
      <w:proofErr w:type="spellStart"/>
      <w:r w:rsidRPr="00D621E2">
        <w:rPr>
          <w:sz w:val="28"/>
        </w:rPr>
        <w:t>Ахтубинский</w:t>
      </w:r>
      <w:proofErr w:type="spellEnd"/>
      <w:r w:rsidRPr="00D621E2">
        <w:rPr>
          <w:sz w:val="28"/>
        </w:rPr>
        <w:t xml:space="preserve"> район», осуществляющих принятые полномочия с учетом индексации в порядке, установленном положением об оплате труда;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затрат на материально-техническое обеспечение деятельности контрольно-счетного органа;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lastRenderedPageBreak/>
        <w:t>-    увеличения (уменьшения) объема работ, с учетом общей суммы расходов бюджета поселения за финансовый год, предшествующий текущему финансовому периоду.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Объем иного межбюджетного трансферта, в расчете на финансовый год,  определяется по формуле: 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ОМБт</w:t>
      </w:r>
      <w:proofErr w:type="spellEnd"/>
      <w:r w:rsidRPr="00D621E2">
        <w:rPr>
          <w:sz w:val="28"/>
        </w:rPr>
        <w:t xml:space="preserve"> = ((ЗП x Ки х </w:t>
      </w:r>
      <w:proofErr w:type="spellStart"/>
      <w:r w:rsidRPr="00D621E2">
        <w:rPr>
          <w:sz w:val="28"/>
        </w:rPr>
        <w:t>Кмто</w:t>
      </w:r>
      <w:proofErr w:type="spellEnd"/>
      <w:r w:rsidRPr="00D621E2">
        <w:rPr>
          <w:sz w:val="28"/>
        </w:rPr>
        <w:t>) / КП) x Кор,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где: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ОМБт</w:t>
      </w:r>
      <w:proofErr w:type="spellEnd"/>
      <w:r w:rsidRPr="00D621E2">
        <w:rPr>
          <w:sz w:val="28"/>
        </w:rPr>
        <w:t xml:space="preserve"> - объем иного межбюджетного трансферта, предоставляемый из бюджета поселения, в расчете на финансовый год;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ЗП - стандартные расходы на оплату труда (денежное содержание), определяются председателем контрольно-счетного органа  муниципального района, исходя из размера годового фонда оплаты труда с начислениями страховых взносов сотрудников КСО, утвержденных штатным расписанием, для осуществления переданных от поселений полномочий;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Ки - коэффициент индексации оплаты труда, устанавливается на очередной финансовый год в соответствии с законодательством;</w:t>
      </w:r>
    </w:p>
    <w:p w:rsidR="002A6D88" w:rsidRPr="00D621E2" w:rsidRDefault="002A6D88" w:rsidP="002A6D88">
      <w:pPr>
        <w:rPr>
          <w:sz w:val="28"/>
        </w:rPr>
      </w:pPr>
      <w:proofErr w:type="spellStart"/>
      <w:r w:rsidRPr="00D621E2">
        <w:rPr>
          <w:sz w:val="28"/>
        </w:rPr>
        <w:t>Кмто</w:t>
      </w:r>
      <w:proofErr w:type="spellEnd"/>
      <w:r w:rsidRPr="00D621E2">
        <w:rPr>
          <w:sz w:val="28"/>
        </w:rPr>
        <w:t xml:space="preserve"> - коэффициент расходов на материально-техническое обеспечение деятельности КСО, устанавливается равным 1,05;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КП - количество поселений, передающих полномочия контрольно-счетного органа;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Кор - коэффициент объема работ, определенный исходя из объема расходной части бюджета поселения, за финансовый год, предшествующий текущему финансовому периоду,  передавшего полномочия,  устанавливается в размерах, равных: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«0,25» - при объеме расходной части  бюджета поселения, до 2,5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«0,5» - при объеме расходной части  бюджета поселения, до 4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«0,75» - при объеме расходной части  бюджета поселения, до 5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«1,0» - при объеме расходной части  бюджета поселения, до 6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«1,25» - при объеме расходной части  бюджета поселения, до 7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«1,5» - при объеме расходной части  бюджета поселения, до 8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«2,0» - при объеме расходной части  бюджета поселения, до 9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«2,25» - при объеме расходной части  бюджета поселения, до 10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«2,5» - при объеме расходной части  бюджета поселения, до 20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«2,75» - при объеме расходной части  бюджета поселения, до 30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«3,0» - при объеме расходной части  бюджета поселения, до 40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«3,25» - при объеме расходной части  бюджета поселения, до 50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«3,5» - при объеме расходной части  бюджета поселения, до 60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lastRenderedPageBreak/>
        <w:t>- «3,75» - при объеме расходной части  бюджета поселения, до 70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«4» - при объеме расходной части  бюджета поселения, до 80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«4,25» - при объеме расходной части  бюджета поселения, до 90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«4,5» - при объеме расходной части  бюджета поселения, до 100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«4,75» - при объеме расходной части  бюджета поселения, до 110 млн. рублей;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- «5,0» - при объеме расходной части  бюджета поселения, до 120 млн. рублей.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Под материально-техническим обеспечением деятельности контрольно-счетного органа  понимаются мероприятия, направленные на создание условий для эффективного и надлежащего осуществления принятых  полномочий КСО по решению вопросов местного значения, и включают в себя следующие расходы: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1) почтовые, транспортные,  канцелярские расходы;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2) расходы на профессиональную подготовку (переподготовки), повышение квалификации муниципальных служащих; возмещение расходов, связанных со служебными командировками сотрудников контрольно-счетного органа, финансируемых за счет указанных иных межбюджетных трансфертов, осуществляемой не реже 1 раза в три года;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3) расходы на услуги связи,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иных межбюджетный трансфертов, в помещениях, занимаемых контрольно-счетным органом  муниципального района);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4) расходы на приобретение, ремонт, обслуживание компьютерной, копировальной и печатающей техники, мебели, обеспечение ее комплектующими и расходными материалами.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Расчет объема иного межбюджетного трансферта на очередной финансовый год, предоставляемого из бюджета поселения, осуществляется председателем контрольно-счетного органа  муниципального района, и направляется главам муниципальных образований поселений </w:t>
      </w:r>
      <w:proofErr w:type="spellStart"/>
      <w:r w:rsidRPr="00D621E2">
        <w:rPr>
          <w:sz w:val="28"/>
        </w:rPr>
        <w:t>Ахтубинского</w:t>
      </w:r>
      <w:proofErr w:type="spellEnd"/>
      <w:r w:rsidRPr="00D621E2">
        <w:rPr>
          <w:sz w:val="28"/>
        </w:rPr>
        <w:t xml:space="preserve"> района, не позднее 1 июля текущего финансового года.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В решении о бюджете поселения на очередной финансовый год и плановый период  утверждаются иные межбюджетные трансферты бюджету муниципального района на осуществление переданных полномочий в соответствии с Соглашением, в объеме, определенном в соответствии с настоящим Порядком.</w:t>
      </w: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 xml:space="preserve">       8. Передаваемые иные межбюджетные трансферты на исполнение переданных полномочий в полном объеме учитываются в расходах бюджета муниципального образования «Село Садовое» и перечисляются на финансовое обеспечение деятельности контрольно-счетного органа в </w:t>
      </w:r>
      <w:r w:rsidRPr="00D621E2">
        <w:rPr>
          <w:sz w:val="28"/>
        </w:rPr>
        <w:lastRenderedPageBreak/>
        <w:t>соответствии с установленным нормативом и бюджетной классификацией Российской Федерации, по соответствующим видам расходов.</w:t>
      </w:r>
    </w:p>
    <w:p w:rsidR="002A6D88" w:rsidRPr="00D621E2" w:rsidRDefault="002A6D88" w:rsidP="002A6D88">
      <w:pPr>
        <w:rPr>
          <w:sz w:val="28"/>
        </w:rPr>
      </w:pPr>
    </w:p>
    <w:p w:rsidR="002A6D88" w:rsidRPr="00D621E2" w:rsidRDefault="002A6D88" w:rsidP="002A6D88">
      <w:pPr>
        <w:rPr>
          <w:sz w:val="28"/>
        </w:rPr>
      </w:pPr>
      <w:r w:rsidRPr="00D621E2">
        <w:rPr>
          <w:sz w:val="28"/>
        </w:rPr>
        <w:t>Верно:</w:t>
      </w:r>
    </w:p>
    <w:p w:rsidR="002A6D88" w:rsidRDefault="002A6D88" w:rsidP="002A6D88">
      <w:pPr>
        <w:rPr>
          <w:sz w:val="28"/>
        </w:rPr>
      </w:pPr>
      <w:r>
        <w:rPr>
          <w:sz w:val="28"/>
        </w:rPr>
        <w:t xml:space="preserve"> </w:t>
      </w:r>
    </w:p>
    <w:p w:rsidR="002A6D88" w:rsidRDefault="002A6D88" w:rsidP="002A6D88">
      <w:pPr>
        <w:tabs>
          <w:tab w:val="left" w:pos="1080"/>
        </w:tabs>
        <w:jc w:val="both"/>
        <w:rPr>
          <w:sz w:val="28"/>
        </w:rPr>
      </w:pPr>
    </w:p>
    <w:p w:rsidR="002A6D88" w:rsidRDefault="002A6D88" w:rsidP="002A6D88">
      <w:pPr>
        <w:tabs>
          <w:tab w:val="left" w:pos="1080"/>
        </w:tabs>
        <w:jc w:val="both"/>
        <w:rPr>
          <w:sz w:val="28"/>
        </w:rPr>
      </w:pPr>
    </w:p>
    <w:p w:rsidR="002A6D88" w:rsidRDefault="002A6D88" w:rsidP="002A6D88">
      <w:pPr>
        <w:tabs>
          <w:tab w:val="left" w:pos="1080"/>
        </w:tabs>
        <w:jc w:val="both"/>
        <w:rPr>
          <w:sz w:val="28"/>
        </w:rPr>
      </w:pPr>
    </w:p>
    <w:p w:rsidR="002A6D88" w:rsidRDefault="002A6D88" w:rsidP="002A6D88">
      <w:pPr>
        <w:tabs>
          <w:tab w:val="left" w:pos="1080"/>
        </w:tabs>
        <w:jc w:val="both"/>
        <w:rPr>
          <w:sz w:val="28"/>
        </w:rPr>
      </w:pPr>
    </w:p>
    <w:p w:rsidR="002A6D88" w:rsidRDefault="002A6D88" w:rsidP="002A6D88">
      <w:pPr>
        <w:tabs>
          <w:tab w:val="left" w:pos="1080"/>
        </w:tabs>
        <w:jc w:val="both"/>
        <w:rPr>
          <w:sz w:val="28"/>
        </w:rPr>
      </w:pPr>
    </w:p>
    <w:p w:rsidR="00E63E52" w:rsidRPr="00605BC2" w:rsidRDefault="00E63E52" w:rsidP="002A6D88">
      <w:pPr>
        <w:shd w:val="clear" w:color="auto" w:fill="FFFFFF"/>
        <w:spacing w:before="150" w:after="150"/>
        <w:jc w:val="center"/>
        <w:rPr>
          <w:sz w:val="28"/>
          <w:szCs w:val="28"/>
        </w:rPr>
      </w:pPr>
    </w:p>
    <w:sectPr w:rsidR="00E63E52" w:rsidRPr="00605BC2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311AF"/>
    <w:rsid w:val="000735E3"/>
    <w:rsid w:val="00076F1D"/>
    <w:rsid w:val="000F498A"/>
    <w:rsid w:val="00112E70"/>
    <w:rsid w:val="002727BB"/>
    <w:rsid w:val="00285F71"/>
    <w:rsid w:val="002A6D88"/>
    <w:rsid w:val="002E4DB6"/>
    <w:rsid w:val="002F62EE"/>
    <w:rsid w:val="00327A2F"/>
    <w:rsid w:val="003D37EA"/>
    <w:rsid w:val="00446B72"/>
    <w:rsid w:val="00474673"/>
    <w:rsid w:val="00487B80"/>
    <w:rsid w:val="004E3E17"/>
    <w:rsid w:val="00590A1F"/>
    <w:rsid w:val="005B2263"/>
    <w:rsid w:val="00605BC2"/>
    <w:rsid w:val="006416E1"/>
    <w:rsid w:val="006F22AD"/>
    <w:rsid w:val="00701B0F"/>
    <w:rsid w:val="00735875"/>
    <w:rsid w:val="007463C3"/>
    <w:rsid w:val="00814FD8"/>
    <w:rsid w:val="008347B6"/>
    <w:rsid w:val="008F42E1"/>
    <w:rsid w:val="0094208B"/>
    <w:rsid w:val="009770D6"/>
    <w:rsid w:val="009848CA"/>
    <w:rsid w:val="009A08FE"/>
    <w:rsid w:val="009A53AA"/>
    <w:rsid w:val="00A118A1"/>
    <w:rsid w:val="00A973C7"/>
    <w:rsid w:val="00B37990"/>
    <w:rsid w:val="00B54644"/>
    <w:rsid w:val="00B854FC"/>
    <w:rsid w:val="00BC6683"/>
    <w:rsid w:val="00D244D2"/>
    <w:rsid w:val="00D24D6E"/>
    <w:rsid w:val="00D40730"/>
    <w:rsid w:val="00D90641"/>
    <w:rsid w:val="00E63E52"/>
    <w:rsid w:val="00E94F7A"/>
    <w:rsid w:val="00E97869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2017-12-20T06:22:00Z</cp:lastPrinted>
  <dcterms:created xsi:type="dcterms:W3CDTF">2017-11-14T09:16:00Z</dcterms:created>
  <dcterms:modified xsi:type="dcterms:W3CDTF">2020-12-16T11:14:00Z</dcterms:modified>
</cp:coreProperties>
</file>